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D11" w:rsidRPr="00212D11" w:rsidRDefault="00212D11" w:rsidP="00212D11">
      <w:pPr>
        <w:pStyle w:val="Titolo"/>
        <w:jc w:val="center"/>
        <w:rPr>
          <w:rFonts w:ascii="Times New Roman" w:hAnsi="Times New Roman" w:cs="Times New Roman"/>
          <w:b/>
          <w:noProof/>
          <w:sz w:val="48"/>
          <w:szCs w:val="40"/>
        </w:rPr>
      </w:pPr>
      <w:r w:rsidRPr="00212D11">
        <w:rPr>
          <w:rStyle w:val="stile5"/>
          <w:rFonts w:ascii="Times New Roman" w:hAnsi="Times New Roman" w:cs="Times New Roman"/>
          <w:b/>
          <w:bCs/>
          <w:noProof/>
          <w:color w:val="244061" w:themeColor="accent1" w:themeShade="80"/>
          <w:sz w:val="48"/>
          <w:szCs w:val="32"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5375910</wp:posOffset>
            </wp:positionH>
            <wp:positionV relativeFrom="paragraph">
              <wp:posOffset>-690245</wp:posOffset>
            </wp:positionV>
            <wp:extent cx="1474470" cy="97155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2D11">
        <w:rPr>
          <w:rStyle w:val="stile5"/>
          <w:rFonts w:ascii="Times New Roman" w:hAnsi="Times New Roman" w:cs="Times New Roman"/>
          <w:b/>
          <w:bCs/>
          <w:noProof/>
          <w:color w:val="244061" w:themeColor="accent1" w:themeShade="80"/>
          <w:sz w:val="48"/>
          <w:szCs w:val="32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-535940</wp:posOffset>
            </wp:positionH>
            <wp:positionV relativeFrom="paragraph">
              <wp:posOffset>-617855</wp:posOffset>
            </wp:positionV>
            <wp:extent cx="782320" cy="78232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2D11">
        <w:rPr>
          <w:rFonts w:ascii="Times New Roman" w:hAnsi="Times New Roman" w:cs="Times New Roman"/>
          <w:b/>
          <w:noProof/>
          <w:sz w:val="48"/>
          <w:szCs w:val="40"/>
        </w:rPr>
        <w:t>Materiale Informativo Trapianto Renale da donatore vivente</w:t>
      </w:r>
    </w:p>
    <w:p w:rsidR="00212D11" w:rsidRDefault="00212D11" w:rsidP="008D6C55">
      <w:pPr>
        <w:jc w:val="center"/>
        <w:rPr>
          <w:rStyle w:val="stile5"/>
          <w:rFonts w:ascii="Times New Roman" w:hAnsi="Times New Roman" w:cs="Times New Roman"/>
          <w:b/>
          <w:bCs/>
          <w:color w:val="244061" w:themeColor="accent1" w:themeShade="80"/>
          <w:sz w:val="40"/>
          <w:szCs w:val="32"/>
        </w:rPr>
      </w:pPr>
    </w:p>
    <w:p w:rsidR="00286B1E" w:rsidRDefault="00286B1E" w:rsidP="00286B1E">
      <w:pPr>
        <w:jc w:val="center"/>
        <w:rPr>
          <w:rStyle w:val="stile5"/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  <w:r>
        <w:rPr>
          <w:rStyle w:val="stile5"/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  <w:t>Il trapianto di rene da donatore vivente</w:t>
      </w:r>
    </w:p>
    <w:p w:rsidR="00286B1E" w:rsidRPr="003835B6" w:rsidRDefault="00286B1E" w:rsidP="00286B1E">
      <w:pPr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Questo manuale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fornisce alcune </w:t>
      </w: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informazioni sul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la</w:t>
      </w: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donazione di rene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da vivente</w:t>
      </w:r>
      <w:r w:rsidR="00C72BE8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che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si realizza </w:t>
      </w: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quando qualcuno (il "donatore")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esprime la volontà di donare u</w:t>
      </w: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no dei suoi reni 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 altra persona (“ricevente”)</w:t>
      </w: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affetta da</w:t>
      </w: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una </w:t>
      </w:r>
      <w:r w:rsidRPr="003835B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malattia renale allo stadio terminale. </w:t>
      </w:r>
    </w:p>
    <w:p w:rsidR="00286B1E" w:rsidRDefault="00C72BE8" w:rsidP="00286B1E">
      <w:pPr>
        <w:jc w:val="both"/>
        <w:rPr>
          <w:rFonts w:eastAsia="MS Mincho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Presso il 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nostro Centro Trapianti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si pratica il trapianto di rene tra viventi 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oltre 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15 anni (il primo trapianto da vivente presso il nostro Centro è stato effettuato infatti nel 1998) con ottimi risultati, sia per quanto riguarda il donatore che per il ricevente. </w:t>
      </w:r>
    </w:p>
    <w:p w:rsidR="000114EE" w:rsidRDefault="000114EE" w:rsidP="00286B1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286B1E" w:rsidRPr="003108CF" w:rsidRDefault="00286B1E" w:rsidP="000114EE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MS Mincho" w:hAnsi="Times New Roman" w:cs="Times New Roman"/>
          <w:sz w:val="32"/>
          <w:szCs w:val="32"/>
          <w:shd w:val="clear" w:color="auto" w:fill="FFFFFF"/>
          <w:lang w:eastAsia="ja-JP"/>
        </w:rPr>
      </w:pPr>
      <w:r w:rsidRPr="003108CF">
        <w:rPr>
          <w:rFonts w:ascii="Times New Roman" w:eastAsia="MS Mincho" w:hAnsi="Times New Roman" w:cs="Times New Roman"/>
          <w:b/>
          <w:color w:val="244061" w:themeColor="accent1" w:themeShade="80"/>
          <w:sz w:val="32"/>
          <w:szCs w:val="32"/>
          <w:lang w:eastAsia="ja-JP"/>
        </w:rPr>
        <w:t>Che vantaggi offre il trapianto di rene da donatore vivente rispetto al trapianto da donatore deceduto ?</w:t>
      </w:r>
    </w:p>
    <w:p w:rsidR="00286B1E" w:rsidRDefault="00286B1E" w:rsidP="00286B1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286B1E" w:rsidRDefault="004A268B" w:rsidP="00FA430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trapianto di rene da </w:t>
      </w:r>
      <w:r w:rsidR="00286B1E" w:rsidRPr="005911C9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dona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tore </w:t>
      </w:r>
      <w:r w:rsidR="00286B1E" w:rsidRPr="005911C9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vivente offre alcuni significativi vantaggi rispetto alla donazione di rene da cadavere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.</w:t>
      </w:r>
    </w:p>
    <w:p w:rsidR="00286B1E" w:rsidRDefault="00286B1E" w:rsidP="00FA430A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286B1E" w:rsidRPr="00130E7E" w:rsidRDefault="00286B1E" w:rsidP="00FA430A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</w:pPr>
      <w:r w:rsidRPr="00130E7E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I risultati nel lungo </w:t>
      </w:r>
      <w:r w:rsidR="004A268B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periodo </w:t>
      </w:r>
      <w:r w:rsidRPr="00130E7E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sono migliori. </w:t>
      </w:r>
    </w:p>
    <w:p w:rsidR="00286B1E" w:rsidRDefault="00286B1E" w:rsidP="00FA43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Solo ed esclusivamente persone sanissime possono essere ammesse a diventare donatori di rene e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solo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dopo diversi esami molto approfonditi. Per questo motivo , i loro reni sono sani ed assicurano una piena funzionalità dopo il trapianto.</w:t>
      </w:r>
    </w:p>
    <w:p w:rsidR="00286B1E" w:rsidRPr="00130E7E" w:rsidRDefault="00286B1E" w:rsidP="00FA43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 distanza di 3 anni dal trapianto, il 95 % dei reni provenienti da trapianto da donatore vivente  sono perfettamente funzionanti rispetto al 91 % dei reni provenienti da trapianto da donatore deceduto.  </w:t>
      </w:r>
    </w:p>
    <w:p w:rsidR="00286B1E" w:rsidRPr="00712533" w:rsidRDefault="00286B1E" w:rsidP="00FA430A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>I tempi di attesa per ricevere il trapianto sono ridotti</w:t>
      </w:r>
    </w:p>
    <w:p w:rsidR="00286B1E" w:rsidRDefault="00286B1E" w:rsidP="00FA43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 Italia in media, chi si iscrive in Lista di trapianto da donatore deceduto aspetta circa 3 anni prima di ricevere un trapianto . </w:t>
      </w:r>
    </w:p>
    <w:p w:rsidR="00286B1E" w:rsidRPr="00712533" w:rsidRDefault="00286B1E" w:rsidP="00FA43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Per il trapianto da donatore vivente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invece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 tempi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di attesa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sono molto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più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brevi,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media 4 – 5 mesi : questo tempo è richiesto per eseguire tutti gli esami di idoneità del donatore ed ottenere uno specifico consenso al trapianto da parte del Giudice.</w:t>
      </w:r>
      <w:r w:rsidRPr="0071253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</w:p>
    <w:p w:rsidR="00286B1E" w:rsidRPr="00712533" w:rsidRDefault="00286B1E" w:rsidP="00FA430A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E’ possibile ricevere il trapianto prima ancora di iniziare la dialisi </w:t>
      </w:r>
    </w:p>
    <w:p w:rsidR="00551C25" w:rsidRDefault="00551C25" w:rsidP="00FA43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Più è breve il tempo che un malato di reni rimane in Dialisi, migliore è la sua sopravvivenza. </w:t>
      </w:r>
    </w:p>
    <w:p w:rsidR="00286B1E" w:rsidRDefault="00551C25" w:rsidP="00FA43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lastRenderedPageBreak/>
        <w:t>Per questo stesso motivo l</w:t>
      </w:r>
      <w:r w:rsidR="00286B1E"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 sopravvivenza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migliore </w:t>
      </w:r>
      <w:r w:rsidR="00286B1E"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si ottiene quando il trapianto viene eseguito prima dell’inizio della diali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</w:t>
      </w:r>
      <w:r w:rsidR="00286B1E"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 (cosiddetto trapianto 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“</w:t>
      </w:r>
      <w:proofErr w:type="spellStart"/>
      <w:r w:rsidR="00286B1E"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pre</w:t>
      </w:r>
      <w:proofErr w:type="spellEnd"/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proofErr w:type="spellStart"/>
      <w:r w:rsidR="00286B1E"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emptive</w:t>
      </w:r>
      <w:proofErr w:type="spellEnd"/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”</w:t>
      </w:r>
      <w:r w:rsidR="00286B1E"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)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. </w:t>
      </w:r>
    </w:p>
    <w:p w:rsidR="00286B1E" w:rsidRPr="00712533" w:rsidRDefault="00286B1E" w:rsidP="00FA43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Attua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lmente in Italia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trapianto di rene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“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pre</w:t>
      </w:r>
      <w:proofErr w:type="spellEnd"/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emptive</w:t>
      </w:r>
      <w:proofErr w:type="spellEnd"/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”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è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esclusivamente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limitato</w:t>
      </w:r>
      <w:r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a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 trapianti</w:t>
      </w:r>
      <w:r w:rsidRPr="00B308F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 w:rsidR="00551C2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tra viventi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</w:p>
    <w:p w:rsidR="00286B1E" w:rsidRPr="00E95DC6" w:rsidRDefault="00286B1E" w:rsidP="00FA430A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Il prelievo del rene </w:t>
      </w:r>
      <w:r w:rsidR="0022534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dal donatore </w:t>
      </w: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ed il suo trapianto </w:t>
      </w:r>
      <w:r w:rsidR="0022534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nel ricevente </w:t>
      </w: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>avvengono in immediata successione in modo che</w:t>
      </w:r>
      <w:r w:rsidR="0022534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 i</w:t>
      </w: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>l</w:t>
      </w:r>
      <w:r w:rsidR="0022534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 rene subisca meno danni possibili per il fatto di trovarsi </w:t>
      </w: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esternamente al corpo </w:t>
      </w:r>
    </w:p>
    <w:p w:rsidR="00286B1E" w:rsidRPr="00712533" w:rsidRDefault="00286B1E" w:rsidP="00FA430A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L’intervento </w:t>
      </w:r>
      <w:r w:rsidR="0022534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viene </w:t>
      </w: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totalmente programmato ed ha pertanto luogo solo in condizioni organizzative </w:t>
      </w:r>
      <w:r w:rsidRPr="00E95DC6">
        <w:rPr>
          <w:rFonts w:ascii="Times New Roman" w:eastAsia="MS Mincho" w:hAnsi="Times New Roman" w:cs="Times New Roman"/>
          <w:b/>
          <w:sz w:val="24"/>
          <w:szCs w:val="24"/>
          <w:u w:val="single"/>
          <w:shd w:val="clear" w:color="auto" w:fill="FFFFFF"/>
          <w:lang w:eastAsia="ja-JP"/>
        </w:rPr>
        <w:t>ottimali</w:t>
      </w: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 </w:t>
      </w:r>
    </w:p>
    <w:p w:rsidR="00225340" w:rsidRDefault="00225340" w:rsidP="007330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733074" w:rsidRDefault="00733074" w:rsidP="007330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t xml:space="preserve">Chi può donare un rene ? </w:t>
      </w:r>
    </w:p>
    <w:p w:rsidR="00733074" w:rsidRDefault="00733074" w:rsidP="007330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trapianto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di rene da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donat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ore vivente in Italia è regolato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dalla Legge 26 giugno 1967, n. 458. </w:t>
      </w:r>
    </w:p>
    <w:p w:rsidR="00733074" w:rsidRDefault="00733074" w:rsidP="007330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Pe</w:t>
      </w:r>
      <w:r w:rsidR="0036277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r la legge italiana è consentito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 w:rsidR="0036277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trapianto da vivente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tr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:</w:t>
      </w:r>
    </w:p>
    <w:p w:rsidR="00733074" w:rsidRDefault="00733074" w:rsidP="00733074">
      <w:pPr>
        <w:pStyle w:val="Paragrafoelenco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CC5BF5">
        <w:rPr>
          <w:rFonts w:ascii="Times New Roman" w:eastAsia="MS Mincho" w:hAnsi="Times New Roman" w:cs="Times New Roman"/>
          <w:sz w:val="24"/>
          <w:szCs w:val="24"/>
          <w:u w:val="single"/>
          <w:shd w:val="clear" w:color="auto" w:fill="FFFFFF"/>
          <w:lang w:eastAsia="ja-JP"/>
        </w:rPr>
        <w:t>consanguinei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: padre, madre,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figli, fratelli germani o non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germani   </w:t>
      </w:r>
    </w:p>
    <w:p w:rsidR="00733074" w:rsidRDefault="00733074" w:rsidP="00733074">
      <w:pPr>
        <w:pStyle w:val="Paragrafoelenco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u w:val="single"/>
          <w:shd w:val="clear" w:color="auto" w:fill="FFFFFF"/>
          <w:lang w:eastAsia="ja-JP"/>
        </w:rPr>
      </w:pPr>
    </w:p>
    <w:p w:rsidR="00733074" w:rsidRPr="00302E05" w:rsidRDefault="00362770" w:rsidP="00733074">
      <w:pPr>
        <w:pStyle w:val="Paragrafoelenco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e, </w:t>
      </w:r>
      <w:r w:rsidR="00733074" w:rsidRPr="00302E0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se non sono disponibili </w:t>
      </w:r>
      <w:r w:rsidR="0073307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parenti </w:t>
      </w:r>
      <w:r w:rsidR="00733074" w:rsidRPr="00302E0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consanguinei</w:t>
      </w:r>
      <w:r w:rsidR="0073307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,</w:t>
      </w:r>
      <w:r w:rsidR="00733074" w:rsidRPr="00302E0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è possibile ricevere il rene da</w:t>
      </w:r>
    </w:p>
    <w:p w:rsidR="00733074" w:rsidRDefault="00733074" w:rsidP="00733074">
      <w:pPr>
        <w:pStyle w:val="Paragrafoelenco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733074" w:rsidRDefault="00733074" w:rsidP="00733074">
      <w:pPr>
        <w:pStyle w:val="Paragrafoelenco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CC5BF5">
        <w:rPr>
          <w:rFonts w:ascii="Times New Roman" w:eastAsia="MS Mincho" w:hAnsi="Times New Roman" w:cs="Times New Roman"/>
          <w:sz w:val="24"/>
          <w:szCs w:val="24"/>
          <w:u w:val="single"/>
          <w:shd w:val="clear" w:color="auto" w:fill="FFFFFF"/>
          <w:lang w:eastAsia="ja-JP"/>
        </w:rPr>
        <w:t>non consanguinei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come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altri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parenti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(moglie, marito, cugini, zii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ecc</w:t>
      </w:r>
      <w:proofErr w:type="spellEnd"/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) oppure persone non imparentate ma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unit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al malato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da vincoli affettivi pienamente assimilabili a quelli di un contesto familiare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– </w:t>
      </w:r>
      <w:r w:rsidRPr="00CC5BF5">
        <w:rPr>
          <w:rFonts w:ascii="Times New Roman" w:eastAsia="MS Mincho" w:hAnsi="Times New Roman" w:cs="Times New Roman"/>
          <w:i/>
          <w:sz w:val="24"/>
          <w:szCs w:val="24"/>
          <w:shd w:val="clear" w:color="auto" w:fill="FFFFFF"/>
          <w:lang w:eastAsia="ja-JP"/>
        </w:rPr>
        <w:t>“</w:t>
      </w:r>
      <w:proofErr w:type="spellStart"/>
      <w:r w:rsidRPr="00CC5BF5">
        <w:rPr>
          <w:rFonts w:ascii="Times New Roman" w:eastAsia="MS Mincho" w:hAnsi="Times New Roman" w:cs="Times New Roman"/>
          <w:i/>
          <w:sz w:val="24"/>
          <w:szCs w:val="24"/>
          <w:shd w:val="clear" w:color="auto" w:fill="FFFFFF"/>
          <w:lang w:eastAsia="ja-JP"/>
        </w:rPr>
        <w:t>emotionally</w:t>
      </w:r>
      <w:proofErr w:type="spellEnd"/>
      <w:r w:rsidRPr="00CC5BF5">
        <w:rPr>
          <w:rFonts w:ascii="Times New Roman" w:eastAsia="MS Mincho" w:hAnsi="Times New Roman" w:cs="Times New Roman"/>
          <w:i/>
          <w:sz w:val="24"/>
          <w:szCs w:val="24"/>
          <w:shd w:val="clear" w:color="auto" w:fill="FFFFFF"/>
          <w:lang w:eastAsia="ja-JP"/>
        </w:rPr>
        <w:t xml:space="preserve"> </w:t>
      </w:r>
      <w:proofErr w:type="spellStart"/>
      <w:r w:rsidRPr="00CC5BF5">
        <w:rPr>
          <w:rFonts w:ascii="Times New Roman" w:eastAsia="MS Mincho" w:hAnsi="Times New Roman" w:cs="Times New Roman"/>
          <w:i/>
          <w:sz w:val="24"/>
          <w:szCs w:val="24"/>
          <w:shd w:val="clear" w:color="auto" w:fill="FFFFFF"/>
          <w:lang w:eastAsia="ja-JP"/>
        </w:rPr>
        <w:t>related</w:t>
      </w:r>
      <w:proofErr w:type="spellEnd"/>
      <w:r w:rsidRPr="00CC5BF5">
        <w:rPr>
          <w:rFonts w:ascii="Times New Roman" w:eastAsia="MS Mincho" w:hAnsi="Times New Roman" w:cs="Times New Roman"/>
          <w:i/>
          <w:sz w:val="24"/>
          <w:szCs w:val="24"/>
          <w:shd w:val="clear" w:color="auto" w:fill="FFFFFF"/>
          <w:lang w:eastAsia="ja-JP"/>
        </w:rPr>
        <w:t>”</w:t>
      </w:r>
      <w:r>
        <w:rPr>
          <w:rFonts w:ascii="Times New Roman" w:eastAsia="MS Mincho" w:hAnsi="Times New Roman" w:cs="Times New Roman"/>
          <w:i/>
          <w:sz w:val="24"/>
          <w:szCs w:val="24"/>
          <w:shd w:val="clear" w:color="auto" w:fill="FFFFFF"/>
          <w:lang w:eastAsia="ja-JP"/>
        </w:rPr>
        <w:t xml:space="preserve">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(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esempio il/la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convivente stabile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oppure un amico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). </w:t>
      </w:r>
    </w:p>
    <w:p w:rsidR="00733074" w:rsidRDefault="00733074" w:rsidP="007330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Quello che deve essere assolutamente garantito è che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la donazione non deve dare luogo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MAI </w:t>
      </w:r>
      <w:r w:rsidRPr="00CC5BF5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 compensi diretti, indiretti o a benefici di qualsiasi altra natura.</w:t>
      </w:r>
    </w:p>
    <w:p w:rsidR="00047851" w:rsidRPr="00CC5BF5" w:rsidRDefault="00047851" w:rsidP="007330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047851" w:rsidRDefault="00047851" w:rsidP="00047851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t>L’idoneità del donatore</w:t>
      </w:r>
    </w:p>
    <w:p w:rsidR="00286B1E" w:rsidRPr="00047851" w:rsidRDefault="00733074" w:rsidP="00047851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potenziale donatore verrà 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sottopos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to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ad una serie di accertamenti approfonditi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per accertare il suo buono stato di salute : 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esami d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el sangue, esami 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radiologici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,</w:t>
      </w:r>
      <w:r w:rsidR="00286B1E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consulenze specialistiche</w:t>
      </w:r>
      <w:r w:rsidR="0004785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.</w:t>
      </w:r>
    </w:p>
    <w:p w:rsidR="00B83DD3" w:rsidRDefault="00B83DD3" w:rsidP="00B83DD3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B83DD3" w:rsidRDefault="00B83DD3" w:rsidP="00B83DD3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t>Quali sono i costi economici per chi ha intenzione di donare ?</w:t>
      </w:r>
    </w:p>
    <w:p w:rsidR="00B83DD3" w:rsidRDefault="00B83DD3" w:rsidP="00B83DD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Nessuno. </w:t>
      </w:r>
    </w:p>
    <w:p w:rsidR="00B83DD3" w:rsidRDefault="00B83DD3" w:rsidP="00B83DD3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Chi esprime l’intenzione di donare un organo ha garantita la </w:t>
      </w:r>
      <w:r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totale esenzione dalle spese riguardanti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tutti gli accertamenti necessari per la valutazione de</w:t>
      </w:r>
      <w:r w:rsidR="0004785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lla sua idoneità ma anche le vi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site mediche e gli accertamenti che avverranno dopo il trapianto . </w:t>
      </w:r>
    </w:p>
    <w:p w:rsidR="00B83DD3" w:rsidRDefault="00B83DD3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B83DD3" w:rsidRDefault="00B83DD3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B83DD3" w:rsidRDefault="00B83DD3" w:rsidP="00733074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B83DD3" w:rsidRDefault="00B83DD3" w:rsidP="00B83DD3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lastRenderedPageBreak/>
        <w:t xml:space="preserve">Compatibilità tra donatore e ricevente </w:t>
      </w:r>
    </w:p>
    <w:p w:rsidR="00733074" w:rsidRPr="00FF6C47" w:rsidRDefault="00B83DD3" w:rsidP="00733074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La prima cosa che verrà valutata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è </w:t>
      </w:r>
      <w:r w:rsidR="0004785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la presenza di </w:t>
      </w:r>
      <w:r w:rsidR="00733074" w:rsidRPr="00CC5BF5">
        <w:rPr>
          <w:rFonts w:ascii="Times New Roman" w:eastAsia="MS Mincho" w:hAnsi="Times New Roman" w:cs="Times New Roman"/>
          <w:b/>
          <w:sz w:val="24"/>
          <w:szCs w:val="24"/>
          <w:u w:val="single"/>
          <w:shd w:val="clear" w:color="auto" w:fill="FFFFFF"/>
          <w:lang w:eastAsia="ja-JP"/>
        </w:rPr>
        <w:t>compatibilità dei gruppi sanguigni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tra </w:t>
      </w:r>
      <w:r w:rsidR="0004785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donatore e</w:t>
      </w:r>
      <w:r w:rsidR="0004785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 w:rsidR="0004785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ricevente.</w:t>
      </w:r>
      <w:r w:rsidR="0073307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 w:rsidR="00733074" w:rsidRPr="00A6425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 gruppi sanguigni </w:t>
      </w:r>
      <w:r w:rsidR="0073307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del donatore e del ricevente </w:t>
      </w:r>
      <w:r w:rsidR="00733074" w:rsidRPr="00A6425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devono es</w:t>
      </w:r>
      <w:r w:rsidR="0073307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sere compatibili, ma non </w:t>
      </w:r>
      <w:r w:rsidR="00733074" w:rsidRPr="00A6425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identici. Il fattore RH n</w:t>
      </w:r>
      <w:r w:rsidR="0073307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on è rilevante per il trapianto </w:t>
      </w:r>
      <w:r w:rsidR="00733074" w:rsidRPr="00A6425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di rene.</w:t>
      </w:r>
    </w:p>
    <w:p w:rsidR="00733074" w:rsidRDefault="00733074" w:rsidP="00733074">
      <w:pPr>
        <w:spacing w:after="255" w:line="240" w:lineRule="auto"/>
        <w:jc w:val="center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4C5031">
        <w:rPr>
          <w:rFonts w:ascii="Times New Roman" w:eastAsia="MS Mincho" w:hAnsi="Times New Roman" w:cs="Times New Roman"/>
          <w:noProof/>
          <w:sz w:val="24"/>
          <w:szCs w:val="24"/>
          <w:shd w:val="clear" w:color="auto" w:fill="FFFFFF"/>
          <w:lang w:eastAsia="it-IT"/>
        </w:rPr>
        <w:drawing>
          <wp:inline distT="0" distB="0" distL="0" distR="0" wp14:anchorId="22C85668" wp14:editId="7AA7A7EC">
            <wp:extent cx="1988598" cy="1828800"/>
            <wp:effectExtent l="0" t="0" r="0" b="0"/>
            <wp:docPr id="6" name="Immagine 6" descr="http://www.450grammi.it/UserFiles/Image/450grammi_luglio_2012/gruppi-sanguig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450grammi.it/UserFiles/Image/450grammi_luglio_2012/gruppi-sanguign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59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074" w:rsidRDefault="00733074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733074" w:rsidRDefault="00733074" w:rsidP="00733074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t>Quali sono le condizioni o malattie che escludono dal trapianto ?</w:t>
      </w:r>
    </w:p>
    <w:p w:rsidR="00733074" w:rsidRDefault="00733074" w:rsidP="00733074">
      <w:pPr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733074" w:rsidRPr="00B07E47" w:rsidRDefault="00733074" w:rsidP="00733074">
      <w:pPr>
        <w:contextualSpacing/>
        <w:jc w:val="both"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Secondo le direttive della legge italiana, NON possono donare il rene le persone che : </w:t>
      </w:r>
    </w:p>
    <w:p w:rsidR="00733074" w:rsidRDefault="0073307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hanno un’ età inferiore ai 18 anni</w:t>
      </w:r>
    </w:p>
    <w:p w:rsidR="00733074" w:rsidRPr="00FF6C47" w:rsidRDefault="0073307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hanno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malattie renali 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(in corso oppure familiari)</w:t>
      </w:r>
    </w:p>
    <w:p w:rsidR="00733074" w:rsidRPr="003F5924" w:rsidRDefault="00733074" w:rsidP="003F5924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hanno una evidenza di tumore maligno 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in atto o già curati, ma recenti e quindi senza sicurezza che il tumore non ricompaia di nuovo</w:t>
      </w:r>
      <w:r w:rsidRP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</w:p>
    <w:p w:rsidR="00733074" w:rsidRPr="00FF6C47" w:rsidRDefault="0073307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sono affetti da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disturbi psichici </w:t>
      </w:r>
    </w:p>
    <w:p w:rsidR="00733074" w:rsidRPr="00FF6C47" w:rsidRDefault="0073307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us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an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o 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abitualmente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droghe</w:t>
      </w:r>
    </w:p>
    <w:p w:rsidR="00733074" w:rsidRPr="00FF6C47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sono affetti da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importanti malattie respiratorie o cardiovascolari</w:t>
      </w:r>
    </w:p>
    <w:p w:rsidR="00733074" w:rsidRPr="00FF6C47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sono affetti da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ipertensione arteriosa con complicanze </w:t>
      </w:r>
    </w:p>
    <w:p w:rsidR="00733074" w:rsidRPr="00FF6C47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sono affetti da </w:t>
      </w:r>
      <w:r w:rsidR="0073307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Diabete M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ellito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</w:p>
    <w:p w:rsidR="00733074" w:rsidRPr="00A47B8B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sono s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evera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mente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Obesi (BMI superiore a 35 kg/m2)</w:t>
      </w:r>
    </w:p>
    <w:p w:rsidR="00733074" w:rsidRPr="00FF6C47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sono in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gravidanza</w:t>
      </w:r>
    </w:p>
    <w:p w:rsidR="00733074" w:rsidRPr="00FF6C47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hanno una accertata tendenza alle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trombosi</w:t>
      </w:r>
    </w:p>
    <w:p w:rsidR="00733074" w:rsidRPr="00FF6C47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presentano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infezioni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in fase attiva</w:t>
      </w:r>
    </w:p>
    <w:p w:rsidR="00733074" w:rsidRPr="00FF6C47" w:rsidRDefault="003F592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sono affetti da </w:t>
      </w:r>
      <w:r w:rsidR="00733074"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epatite B, epatite C e infezione da HIV</w:t>
      </w:r>
    </w:p>
    <w:p w:rsidR="00733074" w:rsidRPr="00FF6C47" w:rsidRDefault="00733074" w:rsidP="0073307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il donatore si sente obbligato 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alla donazione oppure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 non 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ne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è 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pienamente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convin</w:t>
      </w:r>
      <w:r w:rsidR="003F5924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to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</w:p>
    <w:p w:rsidR="003F5924" w:rsidRDefault="003F5924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594977" w:rsidRDefault="00594977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594977" w:rsidRDefault="00594977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594977" w:rsidRDefault="00594977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594977" w:rsidRDefault="00594977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594977" w:rsidRDefault="00594977" w:rsidP="00286B1E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3F5924" w:rsidRDefault="003F5924" w:rsidP="003F5924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lastRenderedPageBreak/>
        <w:t xml:space="preserve">Cosa succede se donatore e ricevente non sono compatibili ? </w:t>
      </w:r>
    </w:p>
    <w:p w:rsidR="00B83DD3" w:rsidRDefault="003F5924" w:rsidP="003F5924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Nel caso in cui non c’è una compatibilità tra i </w:t>
      </w:r>
      <w:r w:rsidRPr="00A6425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gruppi sanguigni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del donatore e del ricevente oppure non c’è compatibilità </w:t>
      </w:r>
      <w:r w:rsidR="0059497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“immunologica”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, verrà proposto un particolare programma di trapianto chiamato </w:t>
      </w:r>
      <w:r w:rsidRPr="003F5924">
        <w:rPr>
          <w:rFonts w:ascii="Times New Roman" w:eastAsia="MS Mincho" w:hAnsi="Times New Roman" w:cs="Times New Roman"/>
          <w:b/>
          <w:sz w:val="32"/>
          <w:szCs w:val="24"/>
          <w:shd w:val="clear" w:color="auto" w:fill="FFFFFF"/>
          <w:lang w:eastAsia="ja-JP"/>
        </w:rPr>
        <w:t>“ cross-over”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o </w:t>
      </w:r>
      <w:r w:rsidRPr="00B83DD3">
        <w:rPr>
          <w:rFonts w:ascii="Times New Roman" w:eastAsia="MS Mincho" w:hAnsi="Times New Roman" w:cs="Times New Roman"/>
          <w:b/>
          <w:sz w:val="32"/>
          <w:szCs w:val="24"/>
          <w:shd w:val="clear" w:color="auto" w:fill="FFFFFF"/>
          <w:lang w:eastAsia="ja-JP"/>
        </w:rPr>
        <w:t>“incrociato”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. </w:t>
      </w:r>
    </w:p>
    <w:p w:rsidR="003F5924" w:rsidRDefault="00B83DD3" w:rsidP="00286B1E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noProof/>
          <w:color w:val="244061" w:themeColor="accent1" w:themeShade="80"/>
          <w:sz w:val="28"/>
          <w:szCs w:val="24"/>
          <w:lang w:eastAsia="it-IT"/>
        </w:rPr>
        <w:drawing>
          <wp:inline distT="0" distB="0" distL="0" distR="0" wp14:anchorId="30AC4431" wp14:editId="5BC0E09E">
            <wp:extent cx="4166382" cy="3128216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444" cy="312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DD3" w:rsidRDefault="00B83DD3" w:rsidP="00286B1E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B83DD3" w:rsidRDefault="00B83DD3" w:rsidP="00B83DD3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8E0C9B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Una madre di gruppo sanguigno A non può donare al figlio di gruppo sanguigno B. Una seconda madre di gruppo sanguigno B non può donare al figlio di gruppo sanguigno A. “Incrociando” i donatori è però possibile costituire coppie biologiche compatibili che rendono possibile l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’</w:t>
      </w:r>
      <w:r w:rsidRPr="008E0C9B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esecuzione di entrambi i trapianti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.</w:t>
      </w:r>
    </w:p>
    <w:p w:rsidR="00B83DD3" w:rsidRPr="008E0C9B" w:rsidRDefault="005108BD" w:rsidP="00B83DD3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L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 </w:t>
      </w:r>
      <w:r w:rsidR="00B83DD3" w:rsidRPr="008E0C9B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coppie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donatore/ricevente che sono incompatibili ve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rranno 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inserite in un sistema di archivio elettronico gestito dal Centro Nazionale dei Trapianti (CNT) in modo da poter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ricercare 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se in tutt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o il territorio Nazionale esista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un’altra coppia </w:t>
      </w:r>
      <w:r w:rsidR="00B83DD3" w:rsidRPr="008E0C9B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di scambio 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: in questo caso </w:t>
      </w:r>
      <w:r w:rsidR="00B83DD3" w:rsidRPr="008E0C9B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il donatore della prima coppia donerà al ricevente della seconda coppia, mentre il donatore della seconda coppia donerà al ricevente della prima coppia.</w:t>
      </w:r>
    </w:p>
    <w:p w:rsidR="00B83DD3" w:rsidRPr="008E0C9B" w:rsidRDefault="00B83DD3" w:rsidP="00B83DD3">
      <w:pPr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8E0C9B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Tale procedura viene effettuata nel completo rispetto dell’anonimato, e gli interventi chirurgici vengono eseguiti nel Centro in cui sono iscritti i candidati al trapianto. Potrebbe pertanto avvenire che il donatore ed il ricevente vengano operati da équipe diverse in Centri diversi, seppure in contemporaneità.</w:t>
      </w:r>
    </w:p>
    <w:p w:rsidR="003F5924" w:rsidRDefault="003F5924" w:rsidP="00286B1E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BE041F" w:rsidRDefault="00BE041F" w:rsidP="00286B1E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BE041F" w:rsidRDefault="00BE041F" w:rsidP="00286B1E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BE041F" w:rsidRDefault="00BE041F" w:rsidP="00286B1E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BE041F" w:rsidRDefault="00BE041F" w:rsidP="00286B1E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B83DD3" w:rsidRDefault="00B83DD3" w:rsidP="00B83DD3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  <w:lastRenderedPageBreak/>
        <w:t xml:space="preserve">Quali sono i rischi per il donatore ? </w:t>
      </w:r>
    </w:p>
    <w:p w:rsidR="00B83DD3" w:rsidRDefault="00B83DD3" w:rsidP="00B83DD3">
      <w:pPr>
        <w:spacing w:after="255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Si può vivere normalmente con un solo rene, se ben funzionante.</w:t>
      </w:r>
    </w:p>
    <w:p w:rsidR="00B83DD3" w:rsidRDefault="00B83DD3" w:rsidP="00B83DD3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Dopo la donazione non sono state evidenziate limitazioni riguardanti l’attività lavorativa o fisica, la vita di relazione o di coppia.</w:t>
      </w:r>
    </w:p>
    <w:p w:rsidR="00B83DD3" w:rsidRDefault="00B83DD3" w:rsidP="00B83DD3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 rischi 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legati all’intervento chirurgico (per il donatore)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sono modesti e simili a quelli di un qualsiasi intervento chirurgico in una persona in generale benessere.</w:t>
      </w:r>
    </w:p>
    <w:p w:rsidR="0032274C" w:rsidRDefault="00B83DD3" w:rsidP="0032274C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Per quanto riguarda i rischi a lungo termine, 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selezione accurata de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donator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permette che le </w:t>
      </w:r>
      <w:r w:rsidR="00BE041F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eventuali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conseguenze siano molto scarse. 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Infatti 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donatori di rene 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hanno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una sopravvivenza 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dopo l’intervento che è paragonabile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 quella della popolazione generale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ed anche l’incidenza di malattie come l’ Ipertensione Arteriosa è del tutto sovrapponibile. </w:t>
      </w:r>
    </w:p>
    <w:p w:rsidR="0032274C" w:rsidRDefault="0032274C" w:rsidP="0032274C">
      <w:pPr>
        <w:rPr>
          <w:rFonts w:ascii="Times New Roman" w:eastAsia="MS Mincho" w:hAnsi="Times New Roman" w:cs="Times New Roman"/>
          <w:color w:val="244061" w:themeColor="accent1" w:themeShade="80"/>
          <w:sz w:val="28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t>La preparazione</w:t>
      </w: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t>all’ intervento chirurgico</w:t>
      </w: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  <w:t xml:space="preserve"> </w:t>
      </w:r>
    </w:p>
    <w:p w:rsidR="0032274C" w:rsidRPr="0032274C" w:rsidRDefault="0032274C" w:rsidP="0032274C">
      <w:pPr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Dopo aver ricevuto l’idoneità alla donazione di rene si passerà alla fase di preparazione </w:t>
      </w:r>
      <w:r w:rsidR="009239D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dell’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intervento.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br/>
        <w:t>La data dell'intervento sarà decisa di comune accordo tra donatore, ricevente ed équipe chirurgica che eseguirà il trapianto. Nel periodo che precede l'intervento, è importante smettere di fumare e</w:t>
      </w:r>
      <w:r w:rsidR="009239D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se si è in sovrappeso di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perdere peso</w:t>
      </w:r>
      <w:r w:rsidR="009239D1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: i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rischi di fallimento del trapianto è maggiore se si fuma e si è obesi.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  <w:t>L'intervento</w:t>
      </w:r>
    </w:p>
    <w:p w:rsidR="00406150" w:rsidRDefault="00406150" w:rsidP="006B26D6">
      <w:pPr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Sia il donatore che il ricevente verranno 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ricoverati qualche giorno prima della data prevista per l'intervento presso la nostra degenza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clinica 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(Nefrologia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, 6° piano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).</w:t>
      </w:r>
      <w:r w:rsidR="0032274C">
        <w:rPr>
          <w:rFonts w:ascii="Times New Roman" w:eastAsia="MS Mincho" w:hAnsi="Times New Roman" w:cs="Times New Roman"/>
          <w:sz w:val="24"/>
          <w:szCs w:val="24"/>
          <w:lang w:eastAsia="ja-JP"/>
        </w:rPr>
        <w:t> </w:t>
      </w:r>
      <w:r w:rsidR="0032274C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</w:p>
    <w:p w:rsidR="00406150" w:rsidRDefault="0032274C" w:rsidP="006B26D6">
      <w:pPr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E’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assolutamente INDISPENSABILE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che l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o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stato di salute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del donatore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non sia cambiato rispetto all'ultimo controllo,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ed in particolar modo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che non sia presente febbre o infezioni in genere.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Il donatore verrà sottoposto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ad una visita anestesiologica durante la quale verranno fornite tutte le informazioni riguardanti l'anestesia e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il trattamento del dolore post-operatorio.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br/>
      </w:r>
    </w:p>
    <w:p w:rsidR="0032274C" w:rsidRDefault="0032274C" w:rsidP="006B26D6">
      <w:pPr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L'operazione chirurgica vera e propria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nella quale verrà prelevato uno dei due reni è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chiamata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“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nefrectomia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”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dur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in media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3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-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4 ore.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Il chirurgo, o un rappresentante dell’equipe, parlerà con i familiari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non appena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l'intervento sarà terminato. </w:t>
      </w:r>
    </w:p>
    <w:p w:rsidR="00406150" w:rsidRDefault="0032274C" w:rsidP="006B26D6">
      <w:pPr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Al termine dell’intervento, il donatore verrà trasferito presso la degenza dell’ Unità Operativa di Urologia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mentre il ricevente tornerà nella degenza clinica del reparto di Nefrologia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. </w:t>
      </w:r>
    </w:p>
    <w:p w:rsidR="0032274C" w:rsidRDefault="0032274C" w:rsidP="006B26D6">
      <w:pPr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La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durata media del ricovero per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i donatori </w:t>
      </w:r>
      <w:r w:rsidR="0040615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di rene è di circa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10 giorni.</w:t>
      </w:r>
    </w:p>
    <w:p w:rsidR="0032274C" w:rsidRDefault="0032274C" w:rsidP="0032274C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</w:pPr>
    </w:p>
    <w:p w:rsidR="009239D1" w:rsidRDefault="009239D1" w:rsidP="0032274C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</w:pPr>
    </w:p>
    <w:p w:rsidR="009239D1" w:rsidRDefault="009239D1" w:rsidP="0032274C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</w:pPr>
    </w:p>
    <w:p w:rsidR="0032274C" w:rsidRDefault="0032274C" w:rsidP="0032274C">
      <w:pP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shd w:val="clear" w:color="auto" w:fill="FFFFFF"/>
          <w:lang w:eastAsia="ja-JP"/>
        </w:rPr>
        <w:lastRenderedPageBreak/>
        <w:t xml:space="preserve">Cosa succede dopo la donazione ? </w:t>
      </w:r>
    </w:p>
    <w:p w:rsidR="0032274C" w:rsidRPr="009726C0" w:rsidRDefault="0032274C" w:rsidP="0032274C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Il donatore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, dopo la donazione, continuerà a sottoporsi periodicamente a </w:t>
      </w:r>
      <w:r w:rsidRPr="00FF6C47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controlli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che prevedono sia </w:t>
      </w:r>
      <w:r w:rsidRPr="009726C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visite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mediche </w:t>
      </w:r>
      <w:r w:rsidRPr="009726C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ambulatoriali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che </w:t>
      </w:r>
      <w:r w:rsidRPr="009726C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esami del sangue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e </w:t>
      </w:r>
      <w:r w:rsidRPr="009726C0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strumentali (ecografia renale)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.</w:t>
      </w:r>
    </w:p>
    <w:p w:rsidR="00B83DD3" w:rsidRDefault="0032274C" w:rsidP="0032274C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Dopo l’intervento di 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dona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zione del rene, il dona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tore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continuerà ad essere controllato dall’equipe medica del Centro Trapianti 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con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visite ambulatoriali, esami del sangue, ecografie e quanto altro sia necessario per il mantenimento di un buon stato di salute. Questi controllo avverranno ogni 6 mesi per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i primi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2 anni</w:t>
      </w:r>
      <w:r w:rsidR="00B83DD3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e 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successivamente ogni anno </w:t>
      </w:r>
    </w:p>
    <w:p w:rsidR="00B83DD3" w:rsidRDefault="00B83DD3" w:rsidP="00B83DD3">
      <w:pPr>
        <w:spacing w:after="255" w:line="240" w:lineRule="auto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Al donatore, inoltre, viene consigliato di seguire alcune norme per ridurre il rischio di sviluppo di malattie renali e cardiovascolari:</w:t>
      </w:r>
    </w:p>
    <w:p w:rsidR="00B83DD3" w:rsidRDefault="00B83DD3" w:rsidP="00B83DD3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dieta con poco sale e senza troppi grassi</w:t>
      </w:r>
    </w:p>
    <w:p w:rsidR="00B83DD3" w:rsidRDefault="00B83DD3" w:rsidP="00B83DD3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bere acqua adeguatamente,</w:t>
      </w:r>
    </w:p>
    <w:p w:rsidR="00B83DD3" w:rsidRDefault="00B83DD3" w:rsidP="00B83DD3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seguire una moderata attività fisica,</w:t>
      </w:r>
    </w:p>
    <w:p w:rsidR="00B83DD3" w:rsidRDefault="00B83DD3" w:rsidP="00B83DD3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evitare il fumo,</w:t>
      </w:r>
    </w:p>
    <w:p w:rsidR="00B83DD3" w:rsidRDefault="00B83DD3" w:rsidP="00B83DD3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moderata assunzione di alcol,</w:t>
      </w:r>
    </w:p>
    <w:p w:rsidR="00B83DD3" w:rsidRDefault="00B83DD3" w:rsidP="00B83DD3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monitoraggio domiciliare dei valori pressori.</w:t>
      </w:r>
    </w:p>
    <w:p w:rsidR="00B83DD3" w:rsidRDefault="00B83DD3" w:rsidP="00B83DD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286B1E" w:rsidRDefault="00286B1E" w:rsidP="00286B1E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86B1E" w:rsidRDefault="00286B1E" w:rsidP="00B83DD3">
      <w:pP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Style w:val="stile5"/>
          <w:rFonts w:ascii="Times New Roman" w:hAnsi="Times New Roman" w:cs="Times New Roman"/>
          <w:sz w:val="24"/>
          <w:szCs w:val="24"/>
        </w:rPr>
        <w:br/>
      </w:r>
    </w:p>
    <w:p w:rsidR="00F0345E" w:rsidRDefault="00F0345E" w:rsidP="00CD53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F0345E" w:rsidRDefault="00F0345E" w:rsidP="00CD532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A57168" w:rsidRDefault="00A57168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A57168" w:rsidRDefault="00A57168" w:rsidP="00A5716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8E0E74" w:rsidRPr="008E0E74" w:rsidRDefault="00A57168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 </w:t>
      </w: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F0345E" w:rsidRDefault="00F0345E" w:rsidP="00F0345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5911C9" w:rsidRDefault="005911C9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5911C9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CA40B4" w:rsidRDefault="00CA40B4" w:rsidP="008E0E74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EE3E94" w:rsidRDefault="00EE3E94" w:rsidP="007837F5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8E0C9B" w:rsidRDefault="008E0C9B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8E0C9B" w:rsidRDefault="008E0C9B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CC2748" w:rsidRDefault="00CC2748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CC2748" w:rsidRDefault="00CC2748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CC2748" w:rsidRDefault="00CC2748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CC2748" w:rsidRDefault="00CC2748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CC2748" w:rsidRDefault="00CC2748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  <w:bookmarkStart w:id="0" w:name="_GoBack"/>
      <w:bookmarkEnd w:id="0"/>
    </w:p>
    <w:p w:rsidR="00CC2748" w:rsidRDefault="00CC2748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CC2748" w:rsidRDefault="00CC2748" w:rsidP="00B07E47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8D6C55" w:rsidRPr="00FF6C47" w:rsidRDefault="008D6C55" w:rsidP="008D6C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7709BA" w:rsidRDefault="007709BA" w:rsidP="008D6C55">
      <w:pPr>
        <w:contextualSpacing/>
        <w:rPr>
          <w:rFonts w:ascii="Times New Roman" w:eastAsia="MS Mincho" w:hAnsi="Times New Roman" w:cs="Times New Roman"/>
          <w:b/>
          <w:color w:val="244061" w:themeColor="accent1" w:themeShade="80"/>
          <w:sz w:val="28"/>
          <w:szCs w:val="24"/>
          <w:lang w:eastAsia="ja-JP"/>
        </w:rPr>
      </w:pPr>
    </w:p>
    <w:p w:rsidR="008D6C55" w:rsidRPr="00FF6C47" w:rsidRDefault="008D6C55" w:rsidP="008D6C55">
      <w:pPr>
        <w:pStyle w:val="Paragrafoelenco"/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8D6C55" w:rsidRPr="00FF6C47" w:rsidRDefault="008D6C55" w:rsidP="008D6C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</w:p>
    <w:p w:rsidR="004B3262" w:rsidRDefault="004B3262"/>
    <w:sectPr w:rsidR="004B3262" w:rsidSect="005F53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7FE4"/>
    <w:multiLevelType w:val="hybridMultilevel"/>
    <w:tmpl w:val="2EBA0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02243"/>
    <w:multiLevelType w:val="hybridMultilevel"/>
    <w:tmpl w:val="626A1478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53A40F0"/>
    <w:multiLevelType w:val="hybridMultilevel"/>
    <w:tmpl w:val="7004D81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BCE1792"/>
    <w:multiLevelType w:val="hybridMultilevel"/>
    <w:tmpl w:val="F8E863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01E5D"/>
    <w:multiLevelType w:val="hybridMultilevel"/>
    <w:tmpl w:val="DC4279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D50B6"/>
    <w:multiLevelType w:val="hybridMultilevel"/>
    <w:tmpl w:val="E2F2E4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71F0A"/>
    <w:multiLevelType w:val="hybridMultilevel"/>
    <w:tmpl w:val="CF0A66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90E00"/>
    <w:multiLevelType w:val="hybridMultilevel"/>
    <w:tmpl w:val="7794D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4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234EF"/>
    <w:rsid w:val="000114EE"/>
    <w:rsid w:val="00047851"/>
    <w:rsid w:val="000C4C29"/>
    <w:rsid w:val="00130E7E"/>
    <w:rsid w:val="001378AA"/>
    <w:rsid w:val="00143C69"/>
    <w:rsid w:val="00163DDA"/>
    <w:rsid w:val="001E73B1"/>
    <w:rsid w:val="00205CCA"/>
    <w:rsid w:val="00212D11"/>
    <w:rsid w:val="00225340"/>
    <w:rsid w:val="00282846"/>
    <w:rsid w:val="00286B1E"/>
    <w:rsid w:val="00302E05"/>
    <w:rsid w:val="003108CF"/>
    <w:rsid w:val="0032274C"/>
    <w:rsid w:val="00362770"/>
    <w:rsid w:val="003835B6"/>
    <w:rsid w:val="003F5924"/>
    <w:rsid w:val="00406150"/>
    <w:rsid w:val="004A268B"/>
    <w:rsid w:val="004B3262"/>
    <w:rsid w:val="004C5031"/>
    <w:rsid w:val="005108BD"/>
    <w:rsid w:val="00551C25"/>
    <w:rsid w:val="005911C9"/>
    <w:rsid w:val="00594977"/>
    <w:rsid w:val="005A6C53"/>
    <w:rsid w:val="005F53BB"/>
    <w:rsid w:val="006234EF"/>
    <w:rsid w:val="006B26D6"/>
    <w:rsid w:val="00702DCF"/>
    <w:rsid w:val="00712533"/>
    <w:rsid w:val="00731BF6"/>
    <w:rsid w:val="00733074"/>
    <w:rsid w:val="007709BA"/>
    <w:rsid w:val="007837F5"/>
    <w:rsid w:val="008D6C55"/>
    <w:rsid w:val="008E0C9B"/>
    <w:rsid w:val="008E0E74"/>
    <w:rsid w:val="008E6832"/>
    <w:rsid w:val="009239D1"/>
    <w:rsid w:val="009726C0"/>
    <w:rsid w:val="009732EB"/>
    <w:rsid w:val="00A47B8B"/>
    <w:rsid w:val="00A57168"/>
    <w:rsid w:val="00A64253"/>
    <w:rsid w:val="00B07E47"/>
    <w:rsid w:val="00B308FC"/>
    <w:rsid w:val="00B616E2"/>
    <w:rsid w:val="00B83DD3"/>
    <w:rsid w:val="00BD6305"/>
    <w:rsid w:val="00BE041F"/>
    <w:rsid w:val="00BF5902"/>
    <w:rsid w:val="00C52EC7"/>
    <w:rsid w:val="00C72BE8"/>
    <w:rsid w:val="00C904A2"/>
    <w:rsid w:val="00CA40B4"/>
    <w:rsid w:val="00CC2748"/>
    <w:rsid w:val="00CC5BF5"/>
    <w:rsid w:val="00CD5325"/>
    <w:rsid w:val="00D90409"/>
    <w:rsid w:val="00DB6E7F"/>
    <w:rsid w:val="00E12D77"/>
    <w:rsid w:val="00E92C8D"/>
    <w:rsid w:val="00E95DC6"/>
    <w:rsid w:val="00EE3E94"/>
    <w:rsid w:val="00F0345E"/>
    <w:rsid w:val="00FA430A"/>
    <w:rsid w:val="00FC3291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C55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ile5">
    <w:name w:val="stile5"/>
    <w:basedOn w:val="Carpredefinitoparagrafo"/>
    <w:uiPriority w:val="99"/>
    <w:rsid w:val="008D6C55"/>
  </w:style>
  <w:style w:type="paragraph" w:styleId="Paragrafoelenco">
    <w:name w:val="List Paragraph"/>
    <w:basedOn w:val="Normale"/>
    <w:uiPriority w:val="34"/>
    <w:qFormat/>
    <w:rsid w:val="008D6C55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212D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212D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1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C55"/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ile5">
    <w:name w:val="stile5"/>
    <w:basedOn w:val="Carpredefinitoparagrafo"/>
    <w:uiPriority w:val="99"/>
    <w:rsid w:val="008D6C55"/>
  </w:style>
  <w:style w:type="paragraph" w:styleId="Paragrafoelenco">
    <w:name w:val="List Paragraph"/>
    <w:basedOn w:val="Normale"/>
    <w:uiPriority w:val="34"/>
    <w:qFormat/>
    <w:rsid w:val="008D6C55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212D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212D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1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zxUser</dc:creator>
  <cp:keywords/>
  <dc:description/>
  <cp:lastModifiedBy>medico</cp:lastModifiedBy>
  <cp:revision>54</cp:revision>
  <dcterms:created xsi:type="dcterms:W3CDTF">2014-02-14T08:50:00Z</dcterms:created>
  <dcterms:modified xsi:type="dcterms:W3CDTF">2014-02-26T13:06:00Z</dcterms:modified>
</cp:coreProperties>
</file>